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D5" w:rsidRDefault="00677A80">
      <w:pPr>
        <w:pStyle w:val="BodyText"/>
        <w:spacing w:before="72" w:line="283" w:lineRule="auto"/>
        <w:ind w:right="165"/>
        <w:jc w:val="both"/>
      </w:pPr>
      <w:r>
        <w:t>The securities and Exchange Board of</w:t>
      </w:r>
      <w:r>
        <w:rPr>
          <w:spacing w:val="80"/>
        </w:rPr>
        <w:t xml:space="preserve"> </w:t>
      </w:r>
      <w:r>
        <w:t>India (“SEBI”) vide its Notification dated June</w:t>
      </w:r>
      <w:r>
        <w:rPr>
          <w:spacing w:val="40"/>
        </w:rPr>
        <w:t xml:space="preserve"> </w:t>
      </w:r>
      <w:r>
        <w:t>8, 2018 has amended Regulation 40 of Securities and Exchange Board of India</w:t>
      </w:r>
      <w:r>
        <w:rPr>
          <w:spacing w:val="40"/>
        </w:rPr>
        <w:t xml:space="preserve"> </w:t>
      </w:r>
      <w:r>
        <w:t>(Listing Obligation and Disclosure Requirements) Regulations, 2015 to the effect that request for effecting transfer of shares shall not be processed unless the shares are held in dematerialized form with a depository. However, the transmission and transpo</w:t>
      </w:r>
      <w:r>
        <w:t>sition of shares held in physical form shall continue to be allowed. The said amendment</w:t>
      </w:r>
      <w:r>
        <w:rPr>
          <w:spacing w:val="-2"/>
        </w:rPr>
        <w:t xml:space="preserve"> </w:t>
      </w:r>
      <w:r>
        <w:t>shall</w:t>
      </w:r>
      <w:r>
        <w:rPr>
          <w:spacing w:val="-3"/>
        </w:rPr>
        <w:t xml:space="preserve"> </w:t>
      </w:r>
      <w:r>
        <w:t>come</w:t>
      </w:r>
      <w:r>
        <w:rPr>
          <w:spacing w:val="-3"/>
        </w:rPr>
        <w:t xml:space="preserve"> </w:t>
      </w:r>
      <w:r>
        <w:t>into</w:t>
      </w:r>
      <w:r>
        <w:rPr>
          <w:spacing w:val="-3"/>
        </w:rPr>
        <w:t xml:space="preserve"> </w:t>
      </w:r>
      <w:r>
        <w:t>force</w:t>
      </w:r>
      <w:r>
        <w:rPr>
          <w:spacing w:val="-3"/>
        </w:rPr>
        <w:t xml:space="preserve"> </w:t>
      </w:r>
      <w:r>
        <w:t>from</w:t>
      </w:r>
      <w:r>
        <w:rPr>
          <w:spacing w:val="-3"/>
        </w:rPr>
        <w:t xml:space="preserve"> </w:t>
      </w:r>
      <w:r>
        <w:t>December</w:t>
      </w:r>
      <w:r>
        <w:rPr>
          <w:spacing w:val="-3"/>
        </w:rPr>
        <w:t xml:space="preserve"> </w:t>
      </w:r>
      <w:r>
        <w:t>5,</w:t>
      </w:r>
      <w:r>
        <w:rPr>
          <w:spacing w:val="-3"/>
        </w:rPr>
        <w:t xml:space="preserve"> </w:t>
      </w:r>
      <w:r>
        <w:t>2018</w:t>
      </w:r>
      <w:r>
        <w:rPr>
          <w:spacing w:val="-3"/>
        </w:rPr>
        <w:t xml:space="preserve"> </w:t>
      </w:r>
      <w:r>
        <w:t>and</w:t>
      </w:r>
      <w:r>
        <w:rPr>
          <w:spacing w:val="-3"/>
        </w:rPr>
        <w:t xml:space="preserve"> </w:t>
      </w:r>
      <w:r>
        <w:t>extended</w:t>
      </w:r>
      <w:r>
        <w:rPr>
          <w:spacing w:val="-2"/>
        </w:rPr>
        <w:t xml:space="preserve"> </w:t>
      </w:r>
      <w:r>
        <w:t>up</w:t>
      </w:r>
      <w:r w:rsidR="0041299C">
        <w:t xml:space="preserve"> </w:t>
      </w:r>
      <w:r>
        <w:t>to</w:t>
      </w:r>
      <w:r>
        <w:rPr>
          <w:spacing w:val="-3"/>
        </w:rPr>
        <w:t xml:space="preserve"> </w:t>
      </w:r>
      <w:r>
        <w:t>March</w:t>
      </w:r>
      <w:r>
        <w:rPr>
          <w:spacing w:val="-2"/>
        </w:rPr>
        <w:t xml:space="preserve"> </w:t>
      </w:r>
      <w:r>
        <w:t xml:space="preserve">31 </w:t>
      </w:r>
      <w:r>
        <w:rPr>
          <w:spacing w:val="-2"/>
        </w:rPr>
        <w:t>2019.</w:t>
      </w:r>
    </w:p>
    <w:p w:rsidR="009704D5" w:rsidRDefault="00677A80">
      <w:pPr>
        <w:pStyle w:val="BodyText"/>
        <w:spacing w:before="97" w:line="283" w:lineRule="auto"/>
        <w:ind w:right="166"/>
        <w:jc w:val="both"/>
      </w:pPr>
      <w:r>
        <w:t>Accordingly, with effect from March 31, 2019, request for transfer of shares held in physic</w:t>
      </w:r>
      <w:r>
        <w:t>al form shall not be processed.</w:t>
      </w:r>
    </w:p>
    <w:p w:rsidR="009704D5" w:rsidRDefault="00677A80">
      <w:pPr>
        <w:pStyle w:val="BodyText"/>
        <w:spacing w:before="184" w:line="283" w:lineRule="auto"/>
        <w:ind w:right="168"/>
        <w:jc w:val="both"/>
      </w:pPr>
      <w:r>
        <w:t>Shareholders</w:t>
      </w:r>
      <w:r>
        <w:rPr>
          <w:spacing w:val="39"/>
        </w:rPr>
        <w:t xml:space="preserve"> </w:t>
      </w:r>
      <w:r>
        <w:t>who</w:t>
      </w:r>
      <w:r>
        <w:rPr>
          <w:spacing w:val="39"/>
        </w:rPr>
        <w:t xml:space="preserve"> </w:t>
      </w:r>
      <w:r>
        <w:t>are</w:t>
      </w:r>
      <w:r>
        <w:rPr>
          <w:spacing w:val="39"/>
        </w:rPr>
        <w:t xml:space="preserve"> </w:t>
      </w:r>
      <w:r>
        <w:t>holding</w:t>
      </w:r>
      <w:r>
        <w:rPr>
          <w:spacing w:val="39"/>
        </w:rPr>
        <w:t xml:space="preserve"> </w:t>
      </w:r>
      <w:r>
        <w:t>equity</w:t>
      </w:r>
      <w:r>
        <w:rPr>
          <w:spacing w:val="39"/>
        </w:rPr>
        <w:t xml:space="preserve"> </w:t>
      </w:r>
      <w:r>
        <w:t>shares</w:t>
      </w:r>
      <w:r>
        <w:rPr>
          <w:spacing w:val="39"/>
        </w:rPr>
        <w:t xml:space="preserve"> </w:t>
      </w:r>
      <w:r>
        <w:t>of</w:t>
      </w:r>
      <w:r>
        <w:rPr>
          <w:spacing w:val="39"/>
        </w:rPr>
        <w:t xml:space="preserve"> </w:t>
      </w:r>
      <w:r>
        <w:t>the</w:t>
      </w:r>
      <w:r>
        <w:rPr>
          <w:spacing w:val="39"/>
        </w:rPr>
        <w:t xml:space="preserve"> </w:t>
      </w:r>
      <w:r>
        <w:t>Company</w:t>
      </w:r>
      <w:r>
        <w:rPr>
          <w:spacing w:val="39"/>
        </w:rPr>
        <w:t xml:space="preserve"> </w:t>
      </w:r>
      <w:r>
        <w:t>in</w:t>
      </w:r>
      <w:r>
        <w:rPr>
          <w:spacing w:val="39"/>
        </w:rPr>
        <w:t xml:space="preserve"> </w:t>
      </w:r>
      <w:r>
        <w:t>physical</w:t>
      </w:r>
      <w:r>
        <w:rPr>
          <w:spacing w:val="39"/>
        </w:rPr>
        <w:t xml:space="preserve"> </w:t>
      </w:r>
      <w:r>
        <w:t>form</w:t>
      </w:r>
      <w:r>
        <w:rPr>
          <w:spacing w:val="39"/>
        </w:rPr>
        <w:t xml:space="preserve"> </w:t>
      </w:r>
      <w:r>
        <w:t>they are requested to dematerialize their shareholding in the Company. Benefits of Dematerialization can be summarized as under:-</w:t>
      </w:r>
    </w:p>
    <w:p w:rsidR="009704D5" w:rsidRDefault="00677A80">
      <w:pPr>
        <w:pStyle w:val="ListParagraph"/>
        <w:numPr>
          <w:ilvl w:val="0"/>
          <w:numId w:val="2"/>
        </w:numPr>
        <w:tabs>
          <w:tab w:val="left" w:pos="826"/>
        </w:tabs>
        <w:spacing w:before="191"/>
        <w:ind w:left="826" w:hanging="338"/>
      </w:pPr>
      <w:r>
        <w:t>Hassle</w:t>
      </w:r>
      <w:r>
        <w:rPr>
          <w:spacing w:val="-6"/>
        </w:rPr>
        <w:t xml:space="preserve"> </w:t>
      </w:r>
      <w:r>
        <w:t>free</w:t>
      </w:r>
      <w:r>
        <w:rPr>
          <w:spacing w:val="-7"/>
        </w:rPr>
        <w:t xml:space="preserve"> </w:t>
      </w:r>
      <w:r>
        <w:t>share</w:t>
      </w:r>
      <w:r>
        <w:rPr>
          <w:spacing w:val="-5"/>
        </w:rPr>
        <w:t xml:space="preserve"> </w:t>
      </w:r>
      <w:r>
        <w:t>t</w:t>
      </w:r>
      <w:r>
        <w:t>ransfer</w:t>
      </w:r>
      <w:r>
        <w:rPr>
          <w:spacing w:val="-6"/>
        </w:rPr>
        <w:t xml:space="preserve"> </w:t>
      </w:r>
      <w:r>
        <w:t>with</w:t>
      </w:r>
      <w:r>
        <w:rPr>
          <w:spacing w:val="-6"/>
        </w:rPr>
        <w:t xml:space="preserve"> </w:t>
      </w:r>
      <w:r>
        <w:t>stamp</w:t>
      </w:r>
      <w:r>
        <w:rPr>
          <w:spacing w:val="2"/>
        </w:rPr>
        <w:t xml:space="preserve"> </w:t>
      </w:r>
      <w:r>
        <w:rPr>
          <w:spacing w:val="-4"/>
        </w:rPr>
        <w:t>duty</w:t>
      </w:r>
    </w:p>
    <w:p w:rsidR="009704D5" w:rsidRDefault="00677A80">
      <w:pPr>
        <w:pStyle w:val="ListParagraph"/>
        <w:numPr>
          <w:ilvl w:val="0"/>
          <w:numId w:val="2"/>
        </w:numPr>
        <w:tabs>
          <w:tab w:val="left" w:pos="826"/>
        </w:tabs>
        <w:spacing w:before="44"/>
        <w:ind w:left="826" w:hanging="338"/>
      </w:pPr>
      <w:r>
        <w:t>Demat</w:t>
      </w:r>
      <w:r>
        <w:rPr>
          <w:spacing w:val="-5"/>
        </w:rPr>
        <w:t xml:space="preserve"> </w:t>
      </w:r>
      <w:r>
        <w:t>share</w:t>
      </w:r>
      <w:r>
        <w:rPr>
          <w:spacing w:val="-5"/>
        </w:rPr>
        <w:t xml:space="preserve"> </w:t>
      </w:r>
      <w:r>
        <w:t>balances</w:t>
      </w:r>
      <w:r>
        <w:rPr>
          <w:spacing w:val="-5"/>
        </w:rPr>
        <w:t xml:space="preserve"> </w:t>
      </w:r>
      <w:r>
        <w:t>can</w:t>
      </w:r>
      <w:r>
        <w:rPr>
          <w:spacing w:val="-4"/>
        </w:rPr>
        <w:t xml:space="preserve"> </w:t>
      </w:r>
      <w:r>
        <w:t>be</w:t>
      </w:r>
      <w:r>
        <w:rPr>
          <w:spacing w:val="-5"/>
        </w:rPr>
        <w:t xml:space="preserve"> </w:t>
      </w:r>
      <w:r>
        <w:t>used</w:t>
      </w:r>
      <w:r>
        <w:rPr>
          <w:spacing w:val="-5"/>
        </w:rPr>
        <w:t xml:space="preserve"> </w:t>
      </w:r>
      <w:r>
        <w:t>as</w:t>
      </w:r>
      <w:r>
        <w:rPr>
          <w:spacing w:val="-5"/>
        </w:rPr>
        <w:t xml:space="preserve"> </w:t>
      </w:r>
      <w:r>
        <w:t>collateral</w:t>
      </w:r>
      <w:r>
        <w:rPr>
          <w:spacing w:val="-4"/>
        </w:rPr>
        <w:t xml:space="preserve"> </w:t>
      </w:r>
      <w:r>
        <w:t>for</w:t>
      </w:r>
      <w:r>
        <w:rPr>
          <w:spacing w:val="-5"/>
        </w:rPr>
        <w:t xml:space="preserve"> </w:t>
      </w:r>
      <w:r>
        <w:t>loans</w:t>
      </w:r>
      <w:r>
        <w:rPr>
          <w:spacing w:val="-4"/>
        </w:rPr>
        <w:t xml:space="preserve"> </w:t>
      </w:r>
      <w:r>
        <w:t>/</w:t>
      </w:r>
      <w:r>
        <w:rPr>
          <w:spacing w:val="41"/>
        </w:rPr>
        <w:t xml:space="preserve"> </w:t>
      </w:r>
      <w:r>
        <w:rPr>
          <w:spacing w:val="-2"/>
        </w:rPr>
        <w:t>advances</w:t>
      </w:r>
    </w:p>
    <w:p w:rsidR="009704D5" w:rsidRDefault="00677A80">
      <w:pPr>
        <w:pStyle w:val="ListParagraph"/>
        <w:numPr>
          <w:ilvl w:val="0"/>
          <w:numId w:val="2"/>
        </w:numPr>
        <w:tabs>
          <w:tab w:val="left" w:pos="826"/>
        </w:tabs>
        <w:spacing w:before="45"/>
        <w:ind w:left="826" w:hanging="338"/>
      </w:pPr>
      <w:r>
        <w:t>No</w:t>
      </w:r>
      <w:r>
        <w:rPr>
          <w:spacing w:val="-4"/>
        </w:rPr>
        <w:t xml:space="preserve"> </w:t>
      </w:r>
      <w:r>
        <w:t>risk</w:t>
      </w:r>
      <w:r>
        <w:rPr>
          <w:spacing w:val="-3"/>
        </w:rPr>
        <w:t xml:space="preserve"> </w:t>
      </w:r>
      <w:r>
        <w:t>of</w:t>
      </w:r>
      <w:r>
        <w:rPr>
          <w:spacing w:val="-3"/>
        </w:rPr>
        <w:t xml:space="preserve"> </w:t>
      </w:r>
      <w:r>
        <w:t>loss</w:t>
      </w:r>
      <w:r>
        <w:rPr>
          <w:spacing w:val="-3"/>
        </w:rPr>
        <w:t xml:space="preserve"> </w:t>
      </w:r>
      <w:r>
        <w:t>or</w:t>
      </w:r>
      <w:r>
        <w:rPr>
          <w:spacing w:val="-3"/>
        </w:rPr>
        <w:t xml:space="preserve"> </w:t>
      </w:r>
      <w:r>
        <w:t>theft</w:t>
      </w:r>
      <w:r>
        <w:rPr>
          <w:spacing w:val="-4"/>
        </w:rPr>
        <w:t xml:space="preserve"> </w:t>
      </w:r>
      <w:r>
        <w:t>of</w:t>
      </w:r>
      <w:r>
        <w:rPr>
          <w:spacing w:val="-4"/>
        </w:rPr>
        <w:t xml:space="preserve"> </w:t>
      </w:r>
      <w:r>
        <w:t>share</w:t>
      </w:r>
      <w:r>
        <w:rPr>
          <w:spacing w:val="17"/>
        </w:rPr>
        <w:t xml:space="preserve"> </w:t>
      </w:r>
      <w:r>
        <w:rPr>
          <w:spacing w:val="-2"/>
        </w:rPr>
        <w:t>certificate</w:t>
      </w:r>
    </w:p>
    <w:p w:rsidR="009704D5" w:rsidRDefault="00677A80">
      <w:pPr>
        <w:pStyle w:val="ListParagraph"/>
        <w:numPr>
          <w:ilvl w:val="0"/>
          <w:numId w:val="2"/>
        </w:numPr>
        <w:tabs>
          <w:tab w:val="left" w:pos="826"/>
        </w:tabs>
        <w:spacing w:before="44"/>
        <w:ind w:left="826" w:hanging="338"/>
      </w:pPr>
      <w:r>
        <w:t>Direct</w:t>
      </w:r>
      <w:r>
        <w:rPr>
          <w:spacing w:val="-6"/>
        </w:rPr>
        <w:t xml:space="preserve"> </w:t>
      </w:r>
      <w:r>
        <w:t>credit</w:t>
      </w:r>
      <w:r>
        <w:rPr>
          <w:spacing w:val="-6"/>
        </w:rPr>
        <w:t xml:space="preserve"> </w:t>
      </w:r>
      <w:r>
        <w:t>of</w:t>
      </w:r>
      <w:r>
        <w:rPr>
          <w:spacing w:val="-5"/>
        </w:rPr>
        <w:t xml:space="preserve"> </w:t>
      </w:r>
      <w:r>
        <w:t>Dividend</w:t>
      </w:r>
      <w:r>
        <w:rPr>
          <w:spacing w:val="-5"/>
        </w:rPr>
        <w:t xml:space="preserve"> </w:t>
      </w:r>
      <w:r>
        <w:t>/</w:t>
      </w:r>
      <w:r>
        <w:rPr>
          <w:spacing w:val="-5"/>
        </w:rPr>
        <w:t xml:space="preserve"> </w:t>
      </w:r>
      <w:r>
        <w:t>Corporate</w:t>
      </w:r>
      <w:r>
        <w:rPr>
          <w:spacing w:val="9"/>
        </w:rPr>
        <w:t xml:space="preserve"> </w:t>
      </w:r>
      <w:r>
        <w:rPr>
          <w:spacing w:val="-2"/>
        </w:rPr>
        <w:t>benefits</w:t>
      </w:r>
    </w:p>
    <w:p w:rsidR="009704D5" w:rsidRDefault="00677A80">
      <w:pPr>
        <w:pStyle w:val="ListParagraph"/>
        <w:numPr>
          <w:ilvl w:val="0"/>
          <w:numId w:val="2"/>
        </w:numPr>
        <w:tabs>
          <w:tab w:val="left" w:pos="826"/>
        </w:tabs>
        <w:spacing w:before="47"/>
        <w:ind w:left="826" w:hanging="338"/>
      </w:pPr>
      <w:r>
        <w:t>Nomination</w:t>
      </w:r>
      <w:r>
        <w:rPr>
          <w:spacing w:val="-12"/>
        </w:rPr>
        <w:t xml:space="preserve"> </w:t>
      </w:r>
      <w:r>
        <w:rPr>
          <w:spacing w:val="-2"/>
        </w:rPr>
        <w:t>facility</w:t>
      </w:r>
    </w:p>
    <w:p w:rsidR="009704D5" w:rsidRDefault="00677A80">
      <w:pPr>
        <w:pStyle w:val="BodyText"/>
        <w:spacing w:before="231"/>
        <w:jc w:val="both"/>
      </w:pPr>
      <w:r>
        <w:t>The</w:t>
      </w:r>
      <w:r>
        <w:rPr>
          <w:spacing w:val="-6"/>
        </w:rPr>
        <w:t xml:space="preserve"> </w:t>
      </w:r>
      <w:r>
        <w:t>process</w:t>
      </w:r>
      <w:r>
        <w:rPr>
          <w:spacing w:val="-5"/>
        </w:rPr>
        <w:t xml:space="preserve"> </w:t>
      </w:r>
      <w:r>
        <w:t>to</w:t>
      </w:r>
      <w:r>
        <w:rPr>
          <w:spacing w:val="-6"/>
        </w:rPr>
        <w:t xml:space="preserve"> </w:t>
      </w:r>
      <w:r>
        <w:t>be</w:t>
      </w:r>
      <w:r>
        <w:rPr>
          <w:spacing w:val="-5"/>
        </w:rPr>
        <w:t xml:space="preserve"> </w:t>
      </w:r>
      <w:r>
        <w:t>followed</w:t>
      </w:r>
      <w:r>
        <w:rPr>
          <w:spacing w:val="-5"/>
        </w:rPr>
        <w:t xml:space="preserve"> </w:t>
      </w:r>
      <w:r>
        <w:t>for</w:t>
      </w:r>
      <w:r>
        <w:rPr>
          <w:spacing w:val="-6"/>
        </w:rPr>
        <w:t xml:space="preserve"> </w:t>
      </w:r>
      <w:r>
        <w:t>dematerialization</w:t>
      </w:r>
      <w:r>
        <w:rPr>
          <w:spacing w:val="-6"/>
        </w:rPr>
        <w:t xml:space="preserve"> </w:t>
      </w:r>
      <w:r>
        <w:t>of</w:t>
      </w:r>
      <w:r>
        <w:rPr>
          <w:spacing w:val="-5"/>
        </w:rPr>
        <w:t xml:space="preserve"> </w:t>
      </w:r>
      <w:r>
        <w:t>shares</w:t>
      </w:r>
      <w:r>
        <w:rPr>
          <w:spacing w:val="-6"/>
        </w:rPr>
        <w:t xml:space="preserve"> </w:t>
      </w:r>
      <w:r>
        <w:t>is</w:t>
      </w:r>
      <w:r>
        <w:rPr>
          <w:spacing w:val="-6"/>
        </w:rPr>
        <w:t xml:space="preserve"> </w:t>
      </w:r>
      <w:r>
        <w:t>given</w:t>
      </w:r>
      <w:r>
        <w:rPr>
          <w:spacing w:val="-5"/>
        </w:rPr>
        <w:t xml:space="preserve"> </w:t>
      </w:r>
      <w:r>
        <w:t>below,</w:t>
      </w:r>
      <w:r>
        <w:rPr>
          <w:spacing w:val="-6"/>
        </w:rPr>
        <w:t xml:space="preserve"> </w:t>
      </w:r>
      <w:r>
        <w:t>in</w:t>
      </w:r>
      <w:r>
        <w:rPr>
          <w:spacing w:val="-5"/>
        </w:rPr>
        <w:t xml:space="preserve"> </w:t>
      </w:r>
      <w:r>
        <w:rPr>
          <w:spacing w:val="-2"/>
        </w:rPr>
        <w:t>brief:</w:t>
      </w:r>
    </w:p>
    <w:p w:rsidR="009704D5" w:rsidRDefault="00677A80">
      <w:pPr>
        <w:pStyle w:val="ListParagraph"/>
        <w:numPr>
          <w:ilvl w:val="0"/>
          <w:numId w:val="1"/>
        </w:numPr>
        <w:tabs>
          <w:tab w:val="left" w:pos="825"/>
          <w:tab w:val="left" w:pos="827"/>
        </w:tabs>
        <w:spacing w:before="236" w:line="283" w:lineRule="auto"/>
        <w:ind w:right="163"/>
        <w:jc w:val="both"/>
      </w:pPr>
      <w:r>
        <w:t>The Dematerialization services are provided by the depositories i.e. National Securities Depository Limited (“NSDL”) and Central</w:t>
      </w:r>
      <w:r>
        <w:rPr>
          <w:spacing w:val="80"/>
        </w:rPr>
        <w:t xml:space="preserve"> </w:t>
      </w:r>
      <w:r>
        <w:t>Depository</w:t>
      </w:r>
      <w:r>
        <w:rPr>
          <w:spacing w:val="80"/>
        </w:rPr>
        <w:t xml:space="preserve"> </w:t>
      </w:r>
      <w:r>
        <w:t>Services (India) Limited (“CDSL”) through Depository Participants (“DP”) appointed by them. In case the shareholders are already having a demat account with a Depository Participant, the dematerialization of shares can be processed through the said demat a</w:t>
      </w:r>
      <w:r>
        <w:t>ccount. In case they are not having any demat</w:t>
      </w:r>
      <w:r>
        <w:rPr>
          <w:spacing w:val="40"/>
        </w:rPr>
        <w:t xml:space="preserve"> </w:t>
      </w:r>
      <w:r>
        <w:t>account, they are required to open a demat account with a DP of their choice.</w:t>
      </w:r>
    </w:p>
    <w:p w:rsidR="009704D5" w:rsidRDefault="00677A80">
      <w:pPr>
        <w:pStyle w:val="ListParagraph"/>
        <w:numPr>
          <w:ilvl w:val="0"/>
          <w:numId w:val="1"/>
        </w:numPr>
        <w:tabs>
          <w:tab w:val="left" w:pos="825"/>
          <w:tab w:val="left" w:pos="827"/>
        </w:tabs>
        <w:spacing w:line="283" w:lineRule="auto"/>
        <w:ind w:right="160"/>
        <w:jc w:val="both"/>
      </w:pPr>
      <w:r>
        <w:t>Thereafter shareholders are required to submit the duly filled in Dematerializations Request Form (“DRF”) along with the share certificate(s) to be dematerialized to their DP. DP will verify the DRF and if the same is found to be in order, the DP will gene</w:t>
      </w:r>
      <w:r>
        <w:t>rate the electronic demat request in the computer system of the Depository (i.e. NSDL or CDSL), as the case may be) and the</w:t>
      </w:r>
      <w:r>
        <w:rPr>
          <w:spacing w:val="40"/>
        </w:rPr>
        <w:t xml:space="preserve"> </w:t>
      </w:r>
      <w:r>
        <w:t>said request will be sent electronically to the Registrar &amp; Share Transfer Agent (“RTA”). Further, the DRF along with the original s</w:t>
      </w:r>
      <w:r>
        <w:t>hare certificate(s) will also be sent to the RTA. After receipt of the DRF and the original share certificate(s),</w:t>
      </w:r>
      <w:r>
        <w:rPr>
          <w:spacing w:val="40"/>
        </w:rPr>
        <w:t xml:space="preserve"> </w:t>
      </w:r>
      <w:r>
        <w:t>the RTA will verify the same and if the documents are found to be in order, the demat request generated by the DP shall be confirmed by the RT</w:t>
      </w:r>
      <w:r>
        <w:t>A</w:t>
      </w:r>
      <w:r>
        <w:rPr>
          <w:spacing w:val="40"/>
        </w:rPr>
        <w:t xml:space="preserve"> </w:t>
      </w:r>
      <w:r>
        <w:t>electronically and the shares will be credited in concerned shareholder’s demat account with DP.</w:t>
      </w:r>
    </w:p>
    <w:p w:rsidR="009704D5" w:rsidRDefault="009704D5">
      <w:pPr>
        <w:spacing w:line="283" w:lineRule="auto"/>
        <w:jc w:val="both"/>
        <w:sectPr w:rsidR="009704D5">
          <w:type w:val="continuous"/>
          <w:pgSz w:w="12240" w:h="15840"/>
          <w:pgMar w:top="1760" w:right="1720" w:bottom="280" w:left="1720" w:header="720" w:footer="720" w:gutter="0"/>
          <w:cols w:space="720"/>
        </w:sectPr>
      </w:pPr>
    </w:p>
    <w:p w:rsidR="009704D5" w:rsidRDefault="00677A80">
      <w:pPr>
        <w:pStyle w:val="BodyText"/>
        <w:spacing w:before="75" w:line="283" w:lineRule="auto"/>
        <w:ind w:right="159"/>
        <w:jc w:val="both"/>
      </w:pPr>
      <w:r>
        <w:lastRenderedPageBreak/>
        <w:t>The detailed process related to dematerialization of shares is available at the website</w:t>
      </w:r>
      <w:r>
        <w:rPr>
          <w:spacing w:val="40"/>
        </w:rPr>
        <w:t xml:space="preserve"> </w:t>
      </w:r>
      <w:r>
        <w:t>of NSDL at the weblink:</w:t>
      </w:r>
      <w:r>
        <w:rPr>
          <w:spacing w:val="-1"/>
        </w:rPr>
        <w:t xml:space="preserve"> </w:t>
      </w:r>
      <w:r>
        <w:rPr>
          <w:color w:val="0000FF"/>
          <w:u w:val="single" w:color="0000FF"/>
        </w:rPr>
        <w:t>https://nsdl.co.in/services/demat</w:t>
      </w:r>
      <w:r>
        <w:rPr>
          <w:color w:val="0000FF"/>
          <w:u w:val="single" w:color="0000FF"/>
        </w:rPr>
        <w:t>.php</w:t>
      </w:r>
      <w:r>
        <w:rPr>
          <w:color w:val="0000FF"/>
        </w:rPr>
        <w:t xml:space="preserve"> </w:t>
      </w:r>
      <w:r>
        <w:t xml:space="preserve">and the website of CDSL at the weblink: </w:t>
      </w:r>
      <w:hyperlink r:id="rId5">
        <w:r>
          <w:rPr>
            <w:color w:val="0000FF"/>
            <w:u w:val="single" w:color="0000FF"/>
          </w:rPr>
          <w:t>https://www.cdslindia.com/investors/f-and-q.</w:t>
        </w:r>
      </w:hyperlink>
      <w:r>
        <w:rPr>
          <w:color w:val="0000FF"/>
          <w:u w:val="single" w:color="0000FF"/>
        </w:rPr>
        <w:t>html</w:t>
      </w:r>
      <w:r>
        <w:t>.</w:t>
      </w:r>
    </w:p>
    <w:p w:rsidR="009704D5" w:rsidRDefault="00677A80">
      <w:pPr>
        <w:pStyle w:val="BodyText"/>
        <w:spacing w:before="186"/>
      </w:pPr>
      <w:r>
        <w:t>For</w:t>
      </w:r>
      <w:r>
        <w:rPr>
          <w:spacing w:val="-5"/>
        </w:rPr>
        <w:t xml:space="preserve"> </w:t>
      </w:r>
      <w:r>
        <w:t>any</w:t>
      </w:r>
      <w:r>
        <w:rPr>
          <w:spacing w:val="-5"/>
        </w:rPr>
        <w:t xml:space="preserve"> </w:t>
      </w:r>
      <w:r>
        <w:t>queries</w:t>
      </w:r>
      <w:r>
        <w:rPr>
          <w:spacing w:val="-5"/>
        </w:rPr>
        <w:t xml:space="preserve"> </w:t>
      </w:r>
      <w:r>
        <w:t>in</w:t>
      </w:r>
      <w:r>
        <w:rPr>
          <w:spacing w:val="-5"/>
        </w:rPr>
        <w:t xml:space="preserve"> </w:t>
      </w:r>
      <w:r>
        <w:t>this</w:t>
      </w:r>
      <w:r>
        <w:rPr>
          <w:spacing w:val="-5"/>
        </w:rPr>
        <w:t xml:space="preserve"> </w:t>
      </w:r>
      <w:r>
        <w:t>regard,</w:t>
      </w:r>
      <w:r>
        <w:rPr>
          <w:spacing w:val="-5"/>
        </w:rPr>
        <w:t xml:space="preserve"> </w:t>
      </w:r>
      <w:r>
        <w:t>please</w:t>
      </w:r>
      <w:r>
        <w:rPr>
          <w:spacing w:val="-5"/>
        </w:rPr>
        <w:t xml:space="preserve"> </w:t>
      </w:r>
      <w:r>
        <w:t>contact</w:t>
      </w:r>
      <w:r>
        <w:rPr>
          <w:spacing w:val="-5"/>
        </w:rPr>
        <w:t xml:space="preserve"> </w:t>
      </w:r>
      <w:r>
        <w:t>the</w:t>
      </w:r>
      <w:r>
        <w:rPr>
          <w:spacing w:val="-5"/>
        </w:rPr>
        <w:t xml:space="preserve"> </w:t>
      </w:r>
      <w:r>
        <w:t>RTA</w:t>
      </w:r>
      <w:r>
        <w:rPr>
          <w:spacing w:val="-4"/>
        </w:rPr>
        <w:t xml:space="preserve"> </w:t>
      </w:r>
      <w:r>
        <w:t>at</w:t>
      </w:r>
      <w:r>
        <w:rPr>
          <w:spacing w:val="-5"/>
        </w:rPr>
        <w:t xml:space="preserve"> </w:t>
      </w:r>
      <w:r>
        <w:t>the</w:t>
      </w:r>
      <w:r>
        <w:rPr>
          <w:spacing w:val="-5"/>
        </w:rPr>
        <w:t xml:space="preserve"> </w:t>
      </w:r>
      <w:r>
        <w:t>following</w:t>
      </w:r>
      <w:r>
        <w:rPr>
          <w:spacing w:val="-5"/>
        </w:rPr>
        <w:t xml:space="preserve"> </w:t>
      </w:r>
      <w:r>
        <w:rPr>
          <w:spacing w:val="-2"/>
        </w:rPr>
        <w:t>address:-</w:t>
      </w:r>
    </w:p>
    <w:p w:rsidR="009704D5" w:rsidRDefault="009704D5">
      <w:pPr>
        <w:pStyle w:val="BodyText"/>
        <w:spacing w:before="215"/>
        <w:ind w:left="0"/>
      </w:pPr>
    </w:p>
    <w:p w:rsidR="00677A80" w:rsidRDefault="00677A80" w:rsidP="00677A80">
      <w:pPr>
        <w:pStyle w:val="BodyText"/>
        <w:ind w:right="4570"/>
        <w:rPr>
          <w:rFonts w:ascii="Arial"/>
          <w:b/>
          <w:color w:val="212121"/>
        </w:rPr>
      </w:pPr>
      <w:r>
        <w:rPr>
          <w:rFonts w:ascii="Arial"/>
          <w:b/>
          <w:color w:val="212121"/>
        </w:rPr>
        <w:t xml:space="preserve">Skyline Financial Services Pvt </w:t>
      </w:r>
      <w:r w:rsidRPr="00677A80">
        <w:rPr>
          <w:rFonts w:ascii="Arial"/>
          <w:b/>
          <w:color w:val="212121"/>
        </w:rPr>
        <w:t>Ltd</w:t>
      </w:r>
    </w:p>
    <w:p w:rsidR="00677A80" w:rsidRDefault="00677A80" w:rsidP="00677A80">
      <w:pPr>
        <w:pStyle w:val="BodyText"/>
        <w:ind w:right="4570"/>
        <w:rPr>
          <w:color w:val="212121"/>
        </w:rPr>
      </w:pPr>
      <w:r>
        <w:rPr>
          <w:color w:val="212121"/>
        </w:rPr>
        <w:t>U</w:t>
      </w:r>
      <w:r>
        <w:rPr>
          <w:color w:val="212121"/>
        </w:rPr>
        <w:t>nit:-Reliable Data Services Limited</w:t>
      </w:r>
    </w:p>
    <w:p w:rsidR="00677A80" w:rsidRDefault="00677A80">
      <w:pPr>
        <w:pStyle w:val="BodyText"/>
        <w:ind w:left="212" w:right="602" w:hanging="62"/>
        <w:rPr>
          <w:color w:val="212121"/>
        </w:rPr>
      </w:pPr>
      <w:r w:rsidRPr="00677A80">
        <w:rPr>
          <w:color w:val="212121"/>
        </w:rPr>
        <w:t>D-153/A, 1st floor, Phase I, Okhla Industrial Area, New Delhi, Delhi 110020</w:t>
      </w:r>
    </w:p>
    <w:p w:rsidR="00677A80" w:rsidRDefault="00677A80">
      <w:pPr>
        <w:pStyle w:val="BodyText"/>
        <w:ind w:left="212" w:right="602" w:hanging="62"/>
        <w:rPr>
          <w:color w:val="1155CC"/>
          <w:u w:val="single" w:color="1155CC"/>
        </w:rPr>
      </w:pPr>
      <w:r>
        <w:rPr>
          <w:color w:val="212121"/>
        </w:rPr>
        <w:t>Tel:</w:t>
      </w:r>
      <w:r>
        <w:rPr>
          <w:color w:val="212121"/>
          <w:spacing w:val="-10"/>
        </w:rPr>
        <w:t xml:space="preserve"> </w:t>
      </w:r>
      <w:r>
        <w:rPr>
          <w:color w:val="212121"/>
        </w:rPr>
        <w:t>+91</w:t>
      </w:r>
      <w:r>
        <w:rPr>
          <w:color w:val="212121"/>
          <w:spacing w:val="-10"/>
        </w:rPr>
        <w:t xml:space="preserve"> </w:t>
      </w:r>
      <w:r>
        <w:rPr>
          <w:color w:val="212121"/>
        </w:rPr>
        <w:t>(0)</w:t>
      </w:r>
      <w:r w:rsidRPr="00677A80">
        <w:t xml:space="preserve"> </w:t>
      </w:r>
      <w:r w:rsidRPr="00677A80">
        <w:rPr>
          <w:color w:val="212121"/>
        </w:rPr>
        <w:t>11 2681 2683</w:t>
      </w:r>
      <w:r>
        <w:rPr>
          <w:color w:val="212121"/>
        </w:rPr>
        <w:t>,</w:t>
      </w:r>
      <w:r>
        <w:rPr>
          <w:color w:val="212121"/>
          <w:spacing w:val="-10"/>
        </w:rPr>
        <w:t xml:space="preserve"> </w:t>
      </w:r>
      <w:hyperlink r:id="rId6">
        <w:r>
          <w:rPr>
            <w:color w:val="1155CC"/>
            <w:u w:val="single" w:color="1155CC"/>
          </w:rPr>
          <w:t>email:</w:t>
        </w:r>
      </w:hyperlink>
      <w:r w:rsidRPr="00677A80">
        <w:t xml:space="preserve"> </w:t>
      </w:r>
      <w:hyperlink r:id="rId7" w:history="1">
        <w:r w:rsidRPr="00161CF1">
          <w:rPr>
            <w:rStyle w:val="Hyperlink"/>
            <w:u w:color="1155CC"/>
          </w:rPr>
          <w:t>admin@skylinerta.com</w:t>
        </w:r>
      </w:hyperlink>
    </w:p>
    <w:p w:rsidR="009704D5" w:rsidRDefault="00677A80">
      <w:pPr>
        <w:pStyle w:val="BodyText"/>
        <w:ind w:left="212" w:right="602" w:hanging="62"/>
      </w:pPr>
      <w:r>
        <w:rPr>
          <w:color w:val="1155CC"/>
        </w:rPr>
        <w:t xml:space="preserve"> </w:t>
      </w:r>
      <w:bookmarkStart w:id="0" w:name="_GoBack"/>
      <w:bookmarkEnd w:id="0"/>
      <w:r>
        <w:rPr>
          <w:color w:val="1155CC"/>
          <w:spacing w:val="-2"/>
          <w:u w:val="single" w:color="1155CC"/>
        </w:rPr>
        <w:fldChar w:fldCharType="begin"/>
      </w:r>
      <w:r>
        <w:rPr>
          <w:color w:val="1155CC"/>
          <w:spacing w:val="-2"/>
          <w:u w:val="single" w:color="1155CC"/>
        </w:rPr>
        <w:instrText xml:space="preserve"> HYPERLINK "http://www.</w:instrText>
      </w:r>
      <w:r w:rsidRPr="00677A80">
        <w:rPr>
          <w:color w:val="1155CC"/>
          <w:spacing w:val="-2"/>
          <w:u w:val="single" w:color="1155CC"/>
        </w:rPr>
        <w:instrText>skylinerta</w:instrText>
      </w:r>
      <w:r>
        <w:rPr>
          <w:color w:val="1155CC"/>
          <w:spacing w:val="-2"/>
          <w:u w:val="single" w:color="1155CC"/>
        </w:rPr>
        <w:instrText xml:space="preserve">.com" </w:instrText>
      </w:r>
      <w:r>
        <w:rPr>
          <w:color w:val="1155CC"/>
          <w:spacing w:val="-2"/>
          <w:u w:val="single" w:color="1155CC"/>
        </w:rPr>
        <w:fldChar w:fldCharType="separate"/>
      </w:r>
      <w:r w:rsidRPr="00161CF1">
        <w:rPr>
          <w:rStyle w:val="Hyperlink"/>
          <w:spacing w:val="-2"/>
          <w:u w:color="1155CC"/>
        </w:rPr>
        <w:t>www.skylinerta.com</w:t>
      </w:r>
      <w:r>
        <w:rPr>
          <w:color w:val="1155CC"/>
          <w:spacing w:val="-2"/>
          <w:u w:val="single" w:color="1155CC"/>
        </w:rPr>
        <w:fldChar w:fldCharType="end"/>
      </w:r>
    </w:p>
    <w:sectPr w:rsidR="009704D5">
      <w:pgSz w:w="12240" w:h="15840"/>
      <w:pgMar w:top="12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92356"/>
    <w:multiLevelType w:val="hybridMultilevel"/>
    <w:tmpl w:val="9558E32E"/>
    <w:lvl w:ilvl="0" w:tplc="E1DA0424">
      <w:numFmt w:val="bullet"/>
      <w:lvlText w:val=""/>
      <w:lvlJc w:val="left"/>
      <w:pPr>
        <w:ind w:left="827" w:hanging="340"/>
      </w:pPr>
      <w:rPr>
        <w:rFonts w:ascii="Wingdings" w:eastAsia="Wingdings" w:hAnsi="Wingdings" w:cs="Wingdings" w:hint="default"/>
        <w:b w:val="0"/>
        <w:bCs w:val="0"/>
        <w:i w:val="0"/>
        <w:iCs w:val="0"/>
        <w:spacing w:val="0"/>
        <w:w w:val="101"/>
        <w:sz w:val="22"/>
        <w:szCs w:val="22"/>
        <w:lang w:val="en-US" w:eastAsia="en-US" w:bidi="ar-SA"/>
      </w:rPr>
    </w:lvl>
    <w:lvl w:ilvl="1" w:tplc="18CCBF40">
      <w:numFmt w:val="bullet"/>
      <w:lvlText w:val="•"/>
      <w:lvlJc w:val="left"/>
      <w:pPr>
        <w:ind w:left="1618" w:hanging="340"/>
      </w:pPr>
      <w:rPr>
        <w:rFonts w:hint="default"/>
        <w:lang w:val="en-US" w:eastAsia="en-US" w:bidi="ar-SA"/>
      </w:rPr>
    </w:lvl>
    <w:lvl w:ilvl="2" w:tplc="A300A236">
      <w:numFmt w:val="bullet"/>
      <w:lvlText w:val="•"/>
      <w:lvlJc w:val="left"/>
      <w:pPr>
        <w:ind w:left="2416" w:hanging="340"/>
      </w:pPr>
      <w:rPr>
        <w:rFonts w:hint="default"/>
        <w:lang w:val="en-US" w:eastAsia="en-US" w:bidi="ar-SA"/>
      </w:rPr>
    </w:lvl>
    <w:lvl w:ilvl="3" w:tplc="97226616">
      <w:numFmt w:val="bullet"/>
      <w:lvlText w:val="•"/>
      <w:lvlJc w:val="left"/>
      <w:pPr>
        <w:ind w:left="3214" w:hanging="340"/>
      </w:pPr>
      <w:rPr>
        <w:rFonts w:hint="default"/>
        <w:lang w:val="en-US" w:eastAsia="en-US" w:bidi="ar-SA"/>
      </w:rPr>
    </w:lvl>
    <w:lvl w:ilvl="4" w:tplc="B2F860C6">
      <w:numFmt w:val="bullet"/>
      <w:lvlText w:val="•"/>
      <w:lvlJc w:val="left"/>
      <w:pPr>
        <w:ind w:left="4012" w:hanging="340"/>
      </w:pPr>
      <w:rPr>
        <w:rFonts w:hint="default"/>
        <w:lang w:val="en-US" w:eastAsia="en-US" w:bidi="ar-SA"/>
      </w:rPr>
    </w:lvl>
    <w:lvl w:ilvl="5" w:tplc="1DDE2F3C">
      <w:numFmt w:val="bullet"/>
      <w:lvlText w:val="•"/>
      <w:lvlJc w:val="left"/>
      <w:pPr>
        <w:ind w:left="4810" w:hanging="340"/>
      </w:pPr>
      <w:rPr>
        <w:rFonts w:hint="default"/>
        <w:lang w:val="en-US" w:eastAsia="en-US" w:bidi="ar-SA"/>
      </w:rPr>
    </w:lvl>
    <w:lvl w:ilvl="6" w:tplc="7B6C510A">
      <w:numFmt w:val="bullet"/>
      <w:lvlText w:val="•"/>
      <w:lvlJc w:val="left"/>
      <w:pPr>
        <w:ind w:left="5608" w:hanging="340"/>
      </w:pPr>
      <w:rPr>
        <w:rFonts w:hint="default"/>
        <w:lang w:val="en-US" w:eastAsia="en-US" w:bidi="ar-SA"/>
      </w:rPr>
    </w:lvl>
    <w:lvl w:ilvl="7" w:tplc="8310A316">
      <w:numFmt w:val="bullet"/>
      <w:lvlText w:val="•"/>
      <w:lvlJc w:val="left"/>
      <w:pPr>
        <w:ind w:left="6406" w:hanging="340"/>
      </w:pPr>
      <w:rPr>
        <w:rFonts w:hint="default"/>
        <w:lang w:val="en-US" w:eastAsia="en-US" w:bidi="ar-SA"/>
      </w:rPr>
    </w:lvl>
    <w:lvl w:ilvl="8" w:tplc="148EE554">
      <w:numFmt w:val="bullet"/>
      <w:lvlText w:val="•"/>
      <w:lvlJc w:val="left"/>
      <w:pPr>
        <w:ind w:left="7204" w:hanging="340"/>
      </w:pPr>
      <w:rPr>
        <w:rFonts w:hint="default"/>
        <w:lang w:val="en-US" w:eastAsia="en-US" w:bidi="ar-SA"/>
      </w:rPr>
    </w:lvl>
  </w:abstractNum>
  <w:abstractNum w:abstractNumId="1">
    <w:nsid w:val="7C2C6473"/>
    <w:multiLevelType w:val="hybridMultilevel"/>
    <w:tmpl w:val="C0203588"/>
    <w:lvl w:ilvl="0" w:tplc="303CE402">
      <w:start w:val="1"/>
      <w:numFmt w:val="decimal"/>
      <w:lvlText w:val="%1."/>
      <w:lvlJc w:val="left"/>
      <w:pPr>
        <w:ind w:left="827" w:hanging="340"/>
      </w:pPr>
      <w:rPr>
        <w:rFonts w:ascii="Arial MT" w:eastAsia="Arial MT" w:hAnsi="Arial MT" w:cs="Arial MT" w:hint="default"/>
        <w:b w:val="0"/>
        <w:bCs w:val="0"/>
        <w:i w:val="0"/>
        <w:iCs w:val="0"/>
        <w:spacing w:val="-2"/>
        <w:w w:val="101"/>
        <w:sz w:val="22"/>
        <w:szCs w:val="22"/>
        <w:lang w:val="en-US" w:eastAsia="en-US" w:bidi="ar-SA"/>
      </w:rPr>
    </w:lvl>
    <w:lvl w:ilvl="1" w:tplc="DAB6218E">
      <w:numFmt w:val="bullet"/>
      <w:lvlText w:val="•"/>
      <w:lvlJc w:val="left"/>
      <w:pPr>
        <w:ind w:left="1618" w:hanging="340"/>
      </w:pPr>
      <w:rPr>
        <w:rFonts w:hint="default"/>
        <w:lang w:val="en-US" w:eastAsia="en-US" w:bidi="ar-SA"/>
      </w:rPr>
    </w:lvl>
    <w:lvl w:ilvl="2" w:tplc="C6C285D2">
      <w:numFmt w:val="bullet"/>
      <w:lvlText w:val="•"/>
      <w:lvlJc w:val="left"/>
      <w:pPr>
        <w:ind w:left="2416" w:hanging="340"/>
      </w:pPr>
      <w:rPr>
        <w:rFonts w:hint="default"/>
        <w:lang w:val="en-US" w:eastAsia="en-US" w:bidi="ar-SA"/>
      </w:rPr>
    </w:lvl>
    <w:lvl w:ilvl="3" w:tplc="642EA482">
      <w:numFmt w:val="bullet"/>
      <w:lvlText w:val="•"/>
      <w:lvlJc w:val="left"/>
      <w:pPr>
        <w:ind w:left="3214" w:hanging="340"/>
      </w:pPr>
      <w:rPr>
        <w:rFonts w:hint="default"/>
        <w:lang w:val="en-US" w:eastAsia="en-US" w:bidi="ar-SA"/>
      </w:rPr>
    </w:lvl>
    <w:lvl w:ilvl="4" w:tplc="BF407B7A">
      <w:numFmt w:val="bullet"/>
      <w:lvlText w:val="•"/>
      <w:lvlJc w:val="left"/>
      <w:pPr>
        <w:ind w:left="4012" w:hanging="340"/>
      </w:pPr>
      <w:rPr>
        <w:rFonts w:hint="default"/>
        <w:lang w:val="en-US" w:eastAsia="en-US" w:bidi="ar-SA"/>
      </w:rPr>
    </w:lvl>
    <w:lvl w:ilvl="5" w:tplc="7D327EDE">
      <w:numFmt w:val="bullet"/>
      <w:lvlText w:val="•"/>
      <w:lvlJc w:val="left"/>
      <w:pPr>
        <w:ind w:left="4810" w:hanging="340"/>
      </w:pPr>
      <w:rPr>
        <w:rFonts w:hint="default"/>
        <w:lang w:val="en-US" w:eastAsia="en-US" w:bidi="ar-SA"/>
      </w:rPr>
    </w:lvl>
    <w:lvl w:ilvl="6" w:tplc="8FB0F0CC">
      <w:numFmt w:val="bullet"/>
      <w:lvlText w:val="•"/>
      <w:lvlJc w:val="left"/>
      <w:pPr>
        <w:ind w:left="5608" w:hanging="340"/>
      </w:pPr>
      <w:rPr>
        <w:rFonts w:hint="default"/>
        <w:lang w:val="en-US" w:eastAsia="en-US" w:bidi="ar-SA"/>
      </w:rPr>
    </w:lvl>
    <w:lvl w:ilvl="7" w:tplc="5DA26D44">
      <w:numFmt w:val="bullet"/>
      <w:lvlText w:val="•"/>
      <w:lvlJc w:val="left"/>
      <w:pPr>
        <w:ind w:left="6406" w:hanging="340"/>
      </w:pPr>
      <w:rPr>
        <w:rFonts w:hint="default"/>
        <w:lang w:val="en-US" w:eastAsia="en-US" w:bidi="ar-SA"/>
      </w:rPr>
    </w:lvl>
    <w:lvl w:ilvl="8" w:tplc="54C478AC">
      <w:numFmt w:val="bullet"/>
      <w:lvlText w:val="•"/>
      <w:lvlJc w:val="left"/>
      <w:pPr>
        <w:ind w:left="7204" w:hanging="34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704D5"/>
    <w:rsid w:val="0041299C"/>
    <w:rsid w:val="00677A80"/>
    <w:rsid w:val="009704D5"/>
    <w:rsid w:val="00CE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24E9B-E6B9-4A4B-998B-937773F7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0"/>
    </w:pPr>
  </w:style>
  <w:style w:type="paragraph" w:styleId="ListParagraph">
    <w:name w:val="List Paragraph"/>
    <w:basedOn w:val="Normal"/>
    <w:uiPriority w:val="1"/>
    <w:qFormat/>
    <w:pPr>
      <w:ind w:left="826" w:hanging="33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77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031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kyliner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droitcorporate.com" TargetMode="External"/><Relationship Id="rId5" Type="http://schemas.openxmlformats.org/officeDocument/2006/relationships/hyperlink" Target="http://www.cdslindia.com/investors/f-and-q.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guidance-on-transfer-of-shares-only-in-demat-form</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guidance-on-transfer-of-shares-only-in-demat-form</dc:title>
  <dc:creator>shakti</dc:creator>
  <cp:lastModifiedBy>Niharika</cp:lastModifiedBy>
  <cp:revision>2</cp:revision>
  <dcterms:created xsi:type="dcterms:W3CDTF">2023-12-06T07:56:00Z</dcterms:created>
  <dcterms:modified xsi:type="dcterms:W3CDTF">2023-12-06T09:05:00Z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2019-05-04T00:00:00Z</vt:filetime>
  </property>
  <property fmtid="{D5CDD505-2E9C-101B-9397-08002B2CF9AE}" pid="3" name="Creator">
    <vt:lpwstr>PScript5.dll Version 5.2.2</vt:lpwstr>
  </property>
  <property fmtid="{D5CDD505-2E9C-101B-9397-08002B2CF9AE}" pid="4" name="LastSaved">
    <vt:filetime>2023-12-06T00:00:00Z</vt:filetime>
  </property>
  <property fmtid="{D5CDD505-2E9C-101B-9397-08002B2CF9AE}" pid="5" name="Producer">
    <vt:lpwstr>Acrobat Distiller 11.0 (Windows)</vt:lpwstr>
  </property>
</Properties>
</file>